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8D0" w:rsidRPr="0075723E" w:rsidRDefault="00BF60BD" w:rsidP="00820F64">
      <w:pPr>
        <w:pStyle w:val="Web"/>
        <w:shd w:val="clear" w:color="auto" w:fill="FFFFFF"/>
        <w:spacing w:before="0" w:beforeAutospacing="0" w:afterLines="50" w:after="120" w:afterAutospacing="0" w:line="351" w:lineRule="atLeast"/>
        <w:jc w:val="both"/>
        <w:rPr>
          <w:rFonts w:ascii="Times New Roman" w:eastAsia="標楷體" w:hAnsi="Times New Roman" w:cs="Times New Roman"/>
          <w:color w:val="000000"/>
          <w:kern w:val="2"/>
          <w:sz w:val="32"/>
          <w:szCs w:val="32"/>
        </w:rPr>
      </w:pPr>
      <w:r w:rsidRPr="0075723E">
        <w:rPr>
          <w:rFonts w:ascii="Times New Roman" w:eastAsia="標楷體" w:hAnsi="Times New Roman" w:cs="Times New Roman" w:hint="eastAsia"/>
          <w:color w:val="000000"/>
          <w:kern w:val="2"/>
          <w:sz w:val="32"/>
          <w:szCs w:val="32"/>
        </w:rPr>
        <w:t>新竹市都市更新單元劃定準則</w:t>
      </w:r>
    </w:p>
    <w:p w:rsidR="00762351" w:rsidRPr="0075723E" w:rsidRDefault="00762351" w:rsidP="004A6994">
      <w:pPr>
        <w:rPr>
          <w:rFonts w:ascii="新細明體" w:eastAsia="新細明體"/>
          <w:color w:val="000000"/>
          <w:sz w:val="20"/>
        </w:rPr>
      </w:pPr>
    </w:p>
    <w:p w:rsidR="00A147B2" w:rsidRPr="0075723E" w:rsidRDefault="00A147B2" w:rsidP="00832BF6">
      <w:pPr>
        <w:numPr>
          <w:ilvl w:val="0"/>
          <w:numId w:val="1"/>
        </w:numPr>
        <w:adjustRightInd/>
        <w:spacing w:line="500" w:lineRule="exact"/>
        <w:ind w:left="567" w:hanging="567"/>
        <w:jc w:val="both"/>
        <w:textAlignment w:val="auto"/>
        <w:rPr>
          <w:rFonts w:ascii="標楷體" w:eastAsia="標楷體" w:hAnsi="標楷體" w:hint="eastAsia"/>
          <w:color w:val="000000"/>
          <w:kern w:val="2"/>
          <w:sz w:val="28"/>
          <w:szCs w:val="28"/>
        </w:rPr>
      </w:pPr>
      <w:r w:rsidRPr="0075723E">
        <w:rPr>
          <w:rFonts w:ascii="標楷體" w:eastAsia="標楷體" w:hAnsi="標楷體" w:hint="eastAsia"/>
          <w:color w:val="000000"/>
          <w:kern w:val="2"/>
          <w:sz w:val="28"/>
          <w:szCs w:val="28"/>
        </w:rPr>
        <w:t>新竹市政府（以下簡稱本府）為辦理都市更新需要及執行都市更新條例（以下簡稱本條例）第十條、第十一條之規定，特訂定本準則</w:t>
      </w:r>
      <w:bookmarkStart w:id="0" w:name="_GoBack"/>
      <w:bookmarkEnd w:id="0"/>
      <w:r w:rsidRPr="0075723E">
        <w:rPr>
          <w:rFonts w:ascii="標楷體" w:eastAsia="標楷體" w:hAnsi="標楷體" w:hint="eastAsia"/>
          <w:color w:val="000000"/>
          <w:kern w:val="2"/>
          <w:sz w:val="28"/>
          <w:szCs w:val="28"/>
        </w:rPr>
        <w:t>。</w:t>
      </w:r>
    </w:p>
    <w:p w:rsidR="008A6EBF" w:rsidRPr="0075723E" w:rsidRDefault="00A147B2" w:rsidP="008A6EBF">
      <w:pPr>
        <w:numPr>
          <w:ilvl w:val="0"/>
          <w:numId w:val="1"/>
        </w:numPr>
        <w:adjustRightInd/>
        <w:spacing w:line="500" w:lineRule="exact"/>
        <w:ind w:left="567" w:hanging="567"/>
        <w:jc w:val="both"/>
        <w:textAlignment w:val="auto"/>
        <w:rPr>
          <w:rFonts w:ascii="標楷體" w:eastAsia="標楷體" w:hAnsi="標楷體" w:hint="eastAsia"/>
          <w:color w:val="000000"/>
          <w:kern w:val="2"/>
          <w:sz w:val="28"/>
          <w:szCs w:val="28"/>
        </w:rPr>
      </w:pPr>
      <w:r w:rsidRPr="0075723E">
        <w:rPr>
          <w:rFonts w:ascii="標楷體" w:eastAsia="標楷體" w:hAnsi="標楷體" w:hint="eastAsia"/>
          <w:color w:val="000000"/>
          <w:kern w:val="2"/>
          <w:sz w:val="28"/>
          <w:szCs w:val="28"/>
        </w:rPr>
        <w:t>都市更新單元（以下簡稱更新單元）劃定相關事項依本準則辦理。</w:t>
      </w:r>
    </w:p>
    <w:p w:rsidR="00A147B2" w:rsidRPr="0075723E" w:rsidRDefault="00A147B2" w:rsidP="008A6EBF">
      <w:pPr>
        <w:adjustRightInd/>
        <w:spacing w:line="500" w:lineRule="exact"/>
        <w:ind w:left="567" w:firstLineChars="300" w:firstLine="840"/>
        <w:jc w:val="both"/>
        <w:textAlignment w:val="auto"/>
        <w:rPr>
          <w:rFonts w:ascii="標楷體" w:eastAsia="標楷體" w:hAnsi="標楷體"/>
          <w:color w:val="000000"/>
          <w:kern w:val="2"/>
          <w:sz w:val="28"/>
          <w:szCs w:val="28"/>
        </w:rPr>
      </w:pPr>
      <w:r w:rsidRPr="0075723E">
        <w:rPr>
          <w:rFonts w:ascii="標楷體" w:eastAsia="標楷體" w:hAnsi="標楷體" w:hint="eastAsia"/>
          <w:color w:val="000000"/>
          <w:kern w:val="2"/>
          <w:sz w:val="28"/>
          <w:szCs w:val="28"/>
        </w:rPr>
        <w:t>都市計畫或都市更新計畫中另有規定者，從其規定。</w:t>
      </w:r>
    </w:p>
    <w:p w:rsidR="004C104D" w:rsidRPr="0075723E" w:rsidRDefault="00A147B2" w:rsidP="004C104D">
      <w:pPr>
        <w:numPr>
          <w:ilvl w:val="0"/>
          <w:numId w:val="1"/>
        </w:numPr>
        <w:adjustRightInd/>
        <w:spacing w:line="500" w:lineRule="exact"/>
        <w:ind w:left="567" w:hanging="567"/>
        <w:jc w:val="both"/>
        <w:textAlignment w:val="auto"/>
        <w:rPr>
          <w:rFonts w:ascii="標楷體" w:eastAsia="標楷體" w:hAnsi="標楷體" w:hint="eastAsia"/>
          <w:color w:val="000000"/>
          <w:kern w:val="2"/>
          <w:sz w:val="28"/>
          <w:szCs w:val="28"/>
        </w:rPr>
      </w:pPr>
      <w:r w:rsidRPr="0075723E">
        <w:rPr>
          <w:rFonts w:ascii="標楷體" w:eastAsia="標楷體" w:hAnsi="標楷體" w:hint="eastAsia"/>
          <w:color w:val="000000"/>
          <w:kern w:val="2"/>
          <w:sz w:val="28"/>
          <w:szCs w:val="28"/>
        </w:rPr>
        <w:t>依本條例第十一條自行劃定之更新單元，不得位於農業區、保護區等非都市發展用地。</w:t>
      </w:r>
    </w:p>
    <w:p w:rsidR="004C104D" w:rsidRPr="0075723E" w:rsidRDefault="00A147B2" w:rsidP="004C104D">
      <w:pPr>
        <w:adjustRightInd/>
        <w:spacing w:line="500" w:lineRule="exact"/>
        <w:ind w:left="567" w:firstLineChars="300" w:firstLine="840"/>
        <w:jc w:val="both"/>
        <w:textAlignment w:val="auto"/>
        <w:rPr>
          <w:rFonts w:ascii="標楷體" w:eastAsia="標楷體" w:hAnsi="標楷體" w:hint="eastAsia"/>
          <w:color w:val="000000"/>
          <w:kern w:val="2"/>
          <w:sz w:val="28"/>
          <w:szCs w:val="28"/>
        </w:rPr>
      </w:pPr>
      <w:r w:rsidRPr="0075723E">
        <w:rPr>
          <w:rFonts w:ascii="標楷體" w:eastAsia="標楷體" w:hAnsi="標楷體" w:hint="eastAsia"/>
          <w:color w:val="000000"/>
          <w:kern w:val="2"/>
          <w:sz w:val="28"/>
          <w:szCs w:val="28"/>
        </w:rPr>
        <w:t>前項劃定之更新單元，不得涉及都市計畫主要計畫之擬定或變更。</w:t>
      </w:r>
    </w:p>
    <w:p w:rsidR="00A147B2" w:rsidRPr="0075723E" w:rsidRDefault="00A147B2" w:rsidP="004C104D">
      <w:pPr>
        <w:adjustRightInd/>
        <w:spacing w:line="500" w:lineRule="exact"/>
        <w:ind w:left="567" w:firstLineChars="300" w:firstLine="840"/>
        <w:jc w:val="both"/>
        <w:textAlignment w:val="auto"/>
        <w:rPr>
          <w:rFonts w:ascii="標楷體" w:eastAsia="標楷體" w:hAnsi="標楷體"/>
          <w:color w:val="000000"/>
          <w:kern w:val="2"/>
          <w:sz w:val="28"/>
          <w:szCs w:val="28"/>
        </w:rPr>
      </w:pPr>
      <w:r w:rsidRPr="0075723E">
        <w:rPr>
          <w:rFonts w:ascii="標楷體" w:eastAsia="標楷體" w:hAnsi="標楷體" w:hint="eastAsia"/>
          <w:color w:val="000000"/>
          <w:kern w:val="2"/>
          <w:sz w:val="28"/>
          <w:szCs w:val="28"/>
        </w:rPr>
        <w:t>但僅涉及主要計畫局部性之修正不違背其原規劃意旨，而符合本條例施行細則第十二條所定情形，或僅涉及細部計畫之擬定、變更者，不在此限。</w:t>
      </w:r>
    </w:p>
    <w:p w:rsidR="00B06749" w:rsidRPr="0075723E" w:rsidRDefault="00A147B2" w:rsidP="00B06749">
      <w:pPr>
        <w:numPr>
          <w:ilvl w:val="0"/>
          <w:numId w:val="1"/>
        </w:numPr>
        <w:adjustRightInd/>
        <w:spacing w:line="500" w:lineRule="exact"/>
        <w:ind w:left="567" w:hanging="567"/>
        <w:jc w:val="both"/>
        <w:textAlignment w:val="auto"/>
        <w:rPr>
          <w:rFonts w:ascii="標楷體" w:eastAsia="標楷體" w:hAnsi="標楷體" w:hint="eastAsia"/>
          <w:color w:val="000000"/>
          <w:kern w:val="2"/>
          <w:sz w:val="28"/>
          <w:szCs w:val="28"/>
        </w:rPr>
      </w:pPr>
      <w:r w:rsidRPr="0075723E">
        <w:rPr>
          <w:rFonts w:ascii="標楷體" w:eastAsia="標楷體" w:hAnsi="標楷體" w:hint="eastAsia"/>
          <w:color w:val="000000"/>
          <w:kern w:val="2"/>
          <w:sz w:val="28"/>
          <w:szCs w:val="28"/>
        </w:rPr>
        <w:t>更新單元劃定基準如下：</w:t>
      </w:r>
    </w:p>
    <w:p w:rsidR="00A147B2" w:rsidRPr="0075723E" w:rsidRDefault="00A147B2" w:rsidP="00B06749">
      <w:pPr>
        <w:numPr>
          <w:ilvl w:val="0"/>
          <w:numId w:val="2"/>
        </w:numPr>
        <w:adjustRightInd/>
        <w:spacing w:line="500" w:lineRule="exact"/>
        <w:jc w:val="both"/>
        <w:textAlignment w:val="auto"/>
        <w:rPr>
          <w:rFonts w:eastAsia="標楷體"/>
          <w:color w:val="000000"/>
          <w:sz w:val="28"/>
          <w:szCs w:val="28"/>
        </w:rPr>
      </w:pPr>
      <w:r w:rsidRPr="0075723E">
        <w:rPr>
          <w:rFonts w:eastAsia="標楷體"/>
          <w:color w:val="000000"/>
          <w:sz w:val="28"/>
          <w:szCs w:val="28"/>
        </w:rPr>
        <w:t>為完整之計畫</w:t>
      </w:r>
      <w:proofErr w:type="gramStart"/>
      <w:r w:rsidRPr="0075723E">
        <w:rPr>
          <w:rFonts w:eastAsia="標楷體"/>
          <w:color w:val="000000"/>
          <w:sz w:val="28"/>
          <w:szCs w:val="28"/>
        </w:rPr>
        <w:t>街廓者</w:t>
      </w:r>
      <w:proofErr w:type="gramEnd"/>
      <w:r w:rsidRPr="0075723E">
        <w:rPr>
          <w:rFonts w:eastAsia="標楷體"/>
          <w:color w:val="000000"/>
          <w:sz w:val="28"/>
          <w:szCs w:val="28"/>
        </w:rPr>
        <w:t>。</w:t>
      </w:r>
    </w:p>
    <w:p w:rsidR="00A147B2" w:rsidRPr="0075723E" w:rsidRDefault="00A147B2" w:rsidP="00B06749">
      <w:pPr>
        <w:numPr>
          <w:ilvl w:val="0"/>
          <w:numId w:val="2"/>
        </w:numPr>
        <w:adjustRightInd/>
        <w:spacing w:line="500" w:lineRule="exact"/>
        <w:jc w:val="both"/>
        <w:textAlignment w:val="auto"/>
        <w:rPr>
          <w:rFonts w:eastAsia="標楷體"/>
          <w:color w:val="000000"/>
          <w:kern w:val="2"/>
          <w:sz w:val="28"/>
          <w:szCs w:val="28"/>
        </w:rPr>
      </w:pPr>
      <w:r w:rsidRPr="0075723E">
        <w:rPr>
          <w:rFonts w:eastAsia="標楷體"/>
          <w:color w:val="000000"/>
          <w:sz w:val="28"/>
          <w:szCs w:val="28"/>
        </w:rPr>
        <w:t>臨接計畫道路或本府已指定建築線之現有巷道，且面積達一千五百平方公尺者。</w:t>
      </w:r>
    </w:p>
    <w:p w:rsidR="00A147B2" w:rsidRPr="0075723E" w:rsidRDefault="00A147B2" w:rsidP="00B06749">
      <w:pPr>
        <w:numPr>
          <w:ilvl w:val="0"/>
          <w:numId w:val="2"/>
        </w:numPr>
        <w:adjustRightInd/>
        <w:spacing w:line="500" w:lineRule="exact"/>
        <w:jc w:val="both"/>
        <w:textAlignment w:val="auto"/>
        <w:rPr>
          <w:rFonts w:eastAsia="標楷體"/>
          <w:color w:val="000000"/>
          <w:sz w:val="28"/>
          <w:szCs w:val="28"/>
        </w:rPr>
      </w:pPr>
      <w:r w:rsidRPr="0075723E">
        <w:rPr>
          <w:rFonts w:eastAsia="標楷體" w:hint="eastAsia"/>
          <w:color w:val="000000"/>
          <w:sz w:val="28"/>
          <w:szCs w:val="28"/>
        </w:rPr>
        <w:t>臨接計畫道路或本府已指定建築線之現有巷道二條以上，其中至少應包含一條計畫道路，且面積達一千平方公尺者。</w:t>
      </w:r>
    </w:p>
    <w:p w:rsidR="00A147B2" w:rsidRPr="0075723E" w:rsidRDefault="00A147B2" w:rsidP="008220AF">
      <w:pPr>
        <w:numPr>
          <w:ilvl w:val="0"/>
          <w:numId w:val="2"/>
        </w:numPr>
        <w:adjustRightInd/>
        <w:spacing w:line="500" w:lineRule="exact"/>
        <w:jc w:val="both"/>
        <w:textAlignment w:val="auto"/>
        <w:rPr>
          <w:rFonts w:eastAsia="標楷體"/>
          <w:color w:val="000000"/>
          <w:sz w:val="28"/>
          <w:szCs w:val="28"/>
        </w:rPr>
      </w:pPr>
      <w:r w:rsidRPr="0075723E">
        <w:rPr>
          <w:rFonts w:eastAsia="標楷體" w:hint="eastAsia"/>
          <w:color w:val="000000"/>
          <w:sz w:val="28"/>
          <w:szCs w:val="28"/>
        </w:rPr>
        <w:t>臨接計畫道路或本府已指定建築線之現有巷道且面積達一千平方公尺，</w:t>
      </w:r>
      <w:proofErr w:type="gramStart"/>
      <w:r w:rsidRPr="0075723E">
        <w:rPr>
          <w:rFonts w:eastAsia="標楷體" w:hint="eastAsia"/>
          <w:color w:val="000000"/>
          <w:sz w:val="28"/>
          <w:szCs w:val="28"/>
        </w:rPr>
        <w:t>其街廓內</w:t>
      </w:r>
      <w:proofErr w:type="gramEnd"/>
      <w:r w:rsidRPr="0075723E">
        <w:rPr>
          <w:rFonts w:eastAsia="標楷體" w:hint="eastAsia"/>
          <w:color w:val="000000"/>
          <w:sz w:val="28"/>
          <w:szCs w:val="28"/>
        </w:rPr>
        <w:t>相鄰土地業已建築完成，確無法合併更新，且無礙建築設計及市容觀瞻，並為一次完成更新者。但其面積在五百平方公尺以上，</w:t>
      </w:r>
      <w:proofErr w:type="gramStart"/>
      <w:r w:rsidRPr="0075723E">
        <w:rPr>
          <w:rFonts w:eastAsia="標楷體" w:hint="eastAsia"/>
          <w:color w:val="000000"/>
          <w:sz w:val="28"/>
          <w:szCs w:val="28"/>
        </w:rPr>
        <w:t>經敘明理</w:t>
      </w:r>
      <w:proofErr w:type="gramEnd"/>
      <w:r w:rsidRPr="0075723E">
        <w:rPr>
          <w:rFonts w:eastAsia="標楷體" w:hint="eastAsia"/>
          <w:color w:val="000000"/>
          <w:sz w:val="28"/>
          <w:szCs w:val="28"/>
        </w:rPr>
        <w:t>由，提經審議委員會審議通過者。</w:t>
      </w:r>
    </w:p>
    <w:p w:rsidR="009F417E" w:rsidRPr="0075723E" w:rsidRDefault="00A147B2" w:rsidP="009F417E">
      <w:pPr>
        <w:numPr>
          <w:ilvl w:val="0"/>
          <w:numId w:val="2"/>
        </w:numPr>
        <w:adjustRightInd/>
        <w:spacing w:line="500" w:lineRule="exact"/>
        <w:jc w:val="both"/>
        <w:textAlignment w:val="auto"/>
        <w:rPr>
          <w:rFonts w:eastAsia="標楷體" w:hint="eastAsia"/>
          <w:color w:val="000000"/>
          <w:sz w:val="28"/>
          <w:szCs w:val="28"/>
        </w:rPr>
      </w:pPr>
      <w:r w:rsidRPr="0075723E">
        <w:rPr>
          <w:rFonts w:eastAsia="標楷體" w:hint="eastAsia"/>
          <w:color w:val="000000"/>
          <w:sz w:val="28"/>
          <w:szCs w:val="28"/>
        </w:rPr>
        <w:lastRenderedPageBreak/>
        <w:t>相鄰二個以上街</w:t>
      </w:r>
      <w:proofErr w:type="gramStart"/>
      <w:r w:rsidRPr="0075723E">
        <w:rPr>
          <w:rFonts w:eastAsia="標楷體" w:hint="eastAsia"/>
          <w:color w:val="000000"/>
          <w:sz w:val="28"/>
          <w:szCs w:val="28"/>
        </w:rPr>
        <w:t>廓</w:t>
      </w:r>
      <w:proofErr w:type="gramEnd"/>
      <w:r w:rsidRPr="0075723E">
        <w:rPr>
          <w:rFonts w:eastAsia="標楷體" w:hint="eastAsia"/>
          <w:color w:val="000000"/>
          <w:sz w:val="28"/>
          <w:szCs w:val="28"/>
        </w:rPr>
        <w:t>自行劃定更新單元者，其中應至少有一街廓符合第一款至第四款規定之一，並</w:t>
      </w:r>
      <w:proofErr w:type="gramStart"/>
      <w:r w:rsidRPr="0075723E">
        <w:rPr>
          <w:rFonts w:eastAsia="標楷體" w:hint="eastAsia"/>
          <w:color w:val="000000"/>
          <w:sz w:val="28"/>
          <w:szCs w:val="28"/>
        </w:rPr>
        <w:t>採</w:t>
      </w:r>
      <w:proofErr w:type="gramEnd"/>
      <w:r w:rsidRPr="0075723E">
        <w:rPr>
          <w:rFonts w:eastAsia="標楷體" w:hint="eastAsia"/>
          <w:color w:val="000000"/>
          <w:sz w:val="28"/>
          <w:szCs w:val="28"/>
        </w:rPr>
        <w:t>整體開發一次完成更新，且不影響各</w:t>
      </w:r>
      <w:proofErr w:type="gramStart"/>
      <w:r w:rsidRPr="0075723E">
        <w:rPr>
          <w:rFonts w:eastAsia="標楷體" w:hint="eastAsia"/>
          <w:color w:val="000000"/>
          <w:sz w:val="28"/>
          <w:szCs w:val="28"/>
        </w:rPr>
        <w:t>街廓內相鄰</w:t>
      </w:r>
      <w:proofErr w:type="gramEnd"/>
      <w:r w:rsidRPr="0075723E">
        <w:rPr>
          <w:rFonts w:eastAsia="標楷體" w:hint="eastAsia"/>
          <w:color w:val="000000"/>
          <w:sz w:val="28"/>
          <w:szCs w:val="28"/>
        </w:rPr>
        <w:t>土地之開發。</w:t>
      </w:r>
    </w:p>
    <w:p w:rsidR="009F417E" w:rsidRPr="0075723E" w:rsidRDefault="00A147B2" w:rsidP="009F417E">
      <w:pPr>
        <w:adjustRightInd/>
        <w:spacing w:line="500" w:lineRule="exact"/>
        <w:ind w:left="567" w:firstLineChars="300" w:firstLine="840"/>
        <w:jc w:val="both"/>
        <w:textAlignment w:val="auto"/>
        <w:rPr>
          <w:rFonts w:ascii="標楷體" w:eastAsia="標楷體" w:hAnsi="標楷體" w:hint="eastAsia"/>
          <w:color w:val="000000"/>
          <w:kern w:val="2"/>
          <w:sz w:val="28"/>
          <w:szCs w:val="28"/>
        </w:rPr>
      </w:pPr>
      <w:r w:rsidRPr="0075723E">
        <w:rPr>
          <w:rFonts w:ascii="標楷體" w:eastAsia="標楷體" w:hAnsi="標楷體" w:hint="eastAsia"/>
          <w:color w:val="000000"/>
          <w:kern w:val="2"/>
          <w:sz w:val="28"/>
          <w:szCs w:val="28"/>
        </w:rPr>
        <w:t>前項</w:t>
      </w:r>
      <w:proofErr w:type="gramStart"/>
      <w:r w:rsidRPr="0075723E">
        <w:rPr>
          <w:rFonts w:ascii="標楷體" w:eastAsia="標楷體" w:hAnsi="標楷體" w:hint="eastAsia"/>
          <w:color w:val="000000"/>
          <w:kern w:val="2"/>
          <w:sz w:val="28"/>
          <w:szCs w:val="28"/>
        </w:rPr>
        <w:t>所稱臨接</w:t>
      </w:r>
      <w:proofErr w:type="gramEnd"/>
      <w:r w:rsidRPr="0075723E">
        <w:rPr>
          <w:rFonts w:ascii="標楷體" w:eastAsia="標楷體" w:hAnsi="標楷體" w:hint="eastAsia"/>
          <w:color w:val="000000"/>
          <w:kern w:val="2"/>
          <w:sz w:val="28"/>
          <w:szCs w:val="28"/>
        </w:rPr>
        <w:t>之計畫道路、現有巷道，應有一條寬度達八公尺或有一條寬度與基地退縮留設深度合計達八公尺者。且基地面臨道路、巷道總長度應達二十公尺者。</w:t>
      </w:r>
    </w:p>
    <w:p w:rsidR="00A147B2" w:rsidRPr="0075723E" w:rsidRDefault="00A147B2" w:rsidP="009F417E">
      <w:pPr>
        <w:adjustRightInd/>
        <w:spacing w:line="500" w:lineRule="exact"/>
        <w:ind w:left="567" w:firstLineChars="300" w:firstLine="840"/>
        <w:jc w:val="both"/>
        <w:textAlignment w:val="auto"/>
        <w:rPr>
          <w:rFonts w:ascii="標楷體" w:eastAsia="標楷體" w:hAnsi="標楷體" w:hint="eastAsia"/>
          <w:color w:val="000000"/>
          <w:kern w:val="2"/>
          <w:sz w:val="28"/>
          <w:szCs w:val="28"/>
        </w:rPr>
      </w:pPr>
      <w:r w:rsidRPr="0075723E">
        <w:rPr>
          <w:rFonts w:ascii="標楷體" w:eastAsia="標楷體" w:hAnsi="標楷體" w:hint="eastAsia"/>
          <w:color w:val="000000"/>
          <w:kern w:val="2"/>
          <w:sz w:val="28"/>
          <w:szCs w:val="28"/>
        </w:rPr>
        <w:t>第一</w:t>
      </w:r>
      <w:proofErr w:type="gramStart"/>
      <w:r w:rsidRPr="0075723E">
        <w:rPr>
          <w:rFonts w:ascii="標楷體" w:eastAsia="標楷體" w:hAnsi="標楷體" w:hint="eastAsia"/>
          <w:color w:val="000000"/>
          <w:kern w:val="2"/>
          <w:sz w:val="28"/>
          <w:szCs w:val="28"/>
        </w:rPr>
        <w:t>項所稱街廓</w:t>
      </w:r>
      <w:proofErr w:type="gramEnd"/>
      <w:r w:rsidRPr="0075723E">
        <w:rPr>
          <w:rFonts w:ascii="標楷體" w:eastAsia="標楷體" w:hAnsi="標楷體" w:hint="eastAsia"/>
          <w:color w:val="000000"/>
          <w:kern w:val="2"/>
          <w:sz w:val="28"/>
          <w:szCs w:val="28"/>
        </w:rPr>
        <w:t>，指四周為計畫道路圍成之基地，基地鄰接河川、永久性空地、非都市發展用地、已開闢之公共設施用地等，該鄰接用地邊界視同街廓邊界。經政府機關取得所有權並開闢完成之計畫道路或其他公共設施用地，</w:t>
      </w:r>
      <w:proofErr w:type="gramStart"/>
      <w:r w:rsidRPr="0075723E">
        <w:rPr>
          <w:rFonts w:ascii="標楷體" w:eastAsia="標楷體" w:hAnsi="標楷體" w:hint="eastAsia"/>
          <w:color w:val="000000"/>
          <w:kern w:val="2"/>
          <w:sz w:val="28"/>
          <w:szCs w:val="28"/>
        </w:rPr>
        <w:t>不</w:t>
      </w:r>
      <w:proofErr w:type="gramEnd"/>
      <w:r w:rsidRPr="0075723E">
        <w:rPr>
          <w:rFonts w:ascii="標楷體" w:eastAsia="標楷體" w:hAnsi="標楷體" w:hint="eastAsia"/>
          <w:color w:val="000000"/>
          <w:kern w:val="2"/>
          <w:sz w:val="28"/>
          <w:szCs w:val="28"/>
        </w:rPr>
        <w:t>得計入第一項更新單元面積。</w:t>
      </w:r>
    </w:p>
    <w:p w:rsidR="00A147B2" w:rsidRPr="0075723E" w:rsidRDefault="00A147B2" w:rsidP="00B965CB">
      <w:pPr>
        <w:numPr>
          <w:ilvl w:val="0"/>
          <w:numId w:val="1"/>
        </w:numPr>
        <w:adjustRightInd/>
        <w:spacing w:line="500" w:lineRule="exact"/>
        <w:ind w:left="567" w:hanging="567"/>
        <w:jc w:val="both"/>
        <w:textAlignment w:val="auto"/>
        <w:rPr>
          <w:rFonts w:ascii="標楷體" w:eastAsia="標楷體" w:hAnsi="標楷體"/>
          <w:color w:val="000000"/>
          <w:kern w:val="2"/>
          <w:sz w:val="28"/>
          <w:szCs w:val="28"/>
        </w:rPr>
      </w:pPr>
      <w:r w:rsidRPr="0075723E">
        <w:rPr>
          <w:rFonts w:ascii="標楷體" w:eastAsia="標楷體" w:hAnsi="標楷體" w:hint="eastAsia"/>
          <w:color w:val="000000"/>
          <w:kern w:val="2"/>
          <w:sz w:val="28"/>
          <w:szCs w:val="28"/>
        </w:rPr>
        <w:t>依本條例第十一條自行劃定之更新單元，屬重建區段者，其建築物及地區環境狀況應符合附表所列指標三項以上。</w:t>
      </w:r>
    </w:p>
    <w:p w:rsidR="008E3A3D" w:rsidRPr="0075723E" w:rsidRDefault="00A147B2" w:rsidP="00FE13DB">
      <w:pPr>
        <w:adjustRightInd/>
        <w:spacing w:line="500" w:lineRule="exact"/>
        <w:ind w:left="567" w:firstLineChars="300" w:firstLine="840"/>
        <w:jc w:val="both"/>
        <w:textAlignment w:val="auto"/>
        <w:rPr>
          <w:rFonts w:ascii="標楷體" w:eastAsia="標楷體" w:hAnsi="標楷體"/>
          <w:color w:val="000000"/>
          <w:kern w:val="2"/>
          <w:sz w:val="28"/>
          <w:szCs w:val="28"/>
        </w:rPr>
      </w:pPr>
      <w:r w:rsidRPr="0075723E">
        <w:rPr>
          <w:rFonts w:ascii="標楷體" w:eastAsia="標楷體" w:hAnsi="標楷體" w:hint="eastAsia"/>
          <w:color w:val="000000"/>
          <w:kern w:val="2"/>
          <w:sz w:val="28"/>
          <w:szCs w:val="28"/>
        </w:rPr>
        <w:t>前項更新單元內建築物總投影面積未達更新單元土地面積三分之一</w:t>
      </w:r>
      <w:r w:rsidR="00FE13DB" w:rsidRPr="0075723E">
        <w:rPr>
          <w:rFonts w:ascii="標楷體" w:eastAsia="標楷體" w:hAnsi="標楷體" w:hint="eastAsia"/>
          <w:color w:val="000000"/>
          <w:kern w:val="2"/>
          <w:sz w:val="28"/>
          <w:szCs w:val="28"/>
        </w:rPr>
        <w:t>者，至少應有一項指標符合附表所列第十二項至第十五項指標。</w:t>
      </w:r>
    </w:p>
    <w:p w:rsidR="00A147B2" w:rsidRPr="0075723E" w:rsidRDefault="00FE13DB" w:rsidP="00FE13DB">
      <w:pPr>
        <w:adjustRightInd/>
        <w:spacing w:line="500" w:lineRule="exact"/>
        <w:ind w:left="567" w:firstLineChars="300" w:firstLine="840"/>
        <w:jc w:val="both"/>
        <w:textAlignment w:val="auto"/>
        <w:rPr>
          <w:rFonts w:ascii="標楷體" w:eastAsia="標楷體" w:hAnsi="標楷體" w:hint="eastAsia"/>
          <w:color w:val="000000"/>
          <w:kern w:val="2"/>
          <w:sz w:val="28"/>
          <w:szCs w:val="28"/>
        </w:rPr>
      </w:pPr>
      <w:r w:rsidRPr="0075723E">
        <w:rPr>
          <w:rFonts w:ascii="標楷體" w:eastAsia="標楷體" w:hAnsi="標楷體" w:hint="eastAsia"/>
          <w:color w:val="000000"/>
          <w:kern w:val="2"/>
          <w:sz w:val="28"/>
          <w:szCs w:val="28"/>
        </w:rPr>
        <w:t>相鄰二個以上街</w:t>
      </w:r>
      <w:proofErr w:type="gramStart"/>
      <w:r w:rsidRPr="0075723E">
        <w:rPr>
          <w:rFonts w:ascii="標楷體" w:eastAsia="標楷體" w:hAnsi="標楷體" w:hint="eastAsia"/>
          <w:color w:val="000000"/>
          <w:kern w:val="2"/>
          <w:sz w:val="28"/>
          <w:szCs w:val="28"/>
        </w:rPr>
        <w:t>廓</w:t>
      </w:r>
      <w:proofErr w:type="gramEnd"/>
      <w:r w:rsidRPr="0075723E">
        <w:rPr>
          <w:rFonts w:ascii="標楷體" w:eastAsia="標楷體" w:hAnsi="標楷體" w:hint="eastAsia"/>
          <w:color w:val="000000"/>
          <w:kern w:val="2"/>
          <w:sz w:val="28"/>
          <w:szCs w:val="28"/>
        </w:rPr>
        <w:t>自行劃定更新單元者，附表所列指標應合併計算。</w:t>
      </w:r>
    </w:p>
    <w:p w:rsidR="00A147B2" w:rsidRPr="0075723E" w:rsidRDefault="00A147B2" w:rsidP="00FE13DB">
      <w:pPr>
        <w:numPr>
          <w:ilvl w:val="0"/>
          <w:numId w:val="1"/>
        </w:numPr>
        <w:adjustRightInd/>
        <w:spacing w:line="500" w:lineRule="exact"/>
        <w:ind w:left="567" w:hanging="567"/>
        <w:jc w:val="both"/>
        <w:textAlignment w:val="auto"/>
        <w:rPr>
          <w:rFonts w:ascii="標楷體" w:eastAsia="標楷體" w:hAnsi="標楷體"/>
          <w:color w:val="000000"/>
          <w:kern w:val="2"/>
          <w:sz w:val="28"/>
          <w:szCs w:val="28"/>
        </w:rPr>
      </w:pPr>
      <w:r w:rsidRPr="0075723E">
        <w:rPr>
          <w:rFonts w:ascii="標楷體" w:eastAsia="標楷體" w:hAnsi="標楷體" w:hint="eastAsia"/>
          <w:color w:val="000000"/>
          <w:kern w:val="2"/>
          <w:sz w:val="28"/>
          <w:szCs w:val="28"/>
        </w:rPr>
        <w:t>依本條例第十一條自行劃定之更新單元，全部以整建、維護方式實施，或符合下列情形之</w:t>
      </w:r>
      <w:proofErr w:type="gramStart"/>
      <w:r w:rsidRPr="0075723E">
        <w:rPr>
          <w:rFonts w:ascii="標楷體" w:eastAsia="標楷體" w:hAnsi="標楷體" w:hint="eastAsia"/>
          <w:color w:val="000000"/>
          <w:kern w:val="2"/>
          <w:sz w:val="28"/>
          <w:szCs w:val="28"/>
        </w:rPr>
        <w:t>一</w:t>
      </w:r>
      <w:proofErr w:type="gramEnd"/>
      <w:r w:rsidRPr="0075723E">
        <w:rPr>
          <w:rFonts w:ascii="標楷體" w:eastAsia="標楷體" w:hAnsi="標楷體" w:hint="eastAsia"/>
          <w:color w:val="000000"/>
          <w:kern w:val="2"/>
          <w:sz w:val="28"/>
          <w:szCs w:val="28"/>
        </w:rPr>
        <w:t>且經本府核准者，得不受第四條及第五條規定限制：</w:t>
      </w:r>
    </w:p>
    <w:p w:rsidR="00A147B2" w:rsidRPr="0075723E" w:rsidRDefault="00A147B2" w:rsidP="005B066B">
      <w:pPr>
        <w:numPr>
          <w:ilvl w:val="0"/>
          <w:numId w:val="3"/>
        </w:numPr>
        <w:adjustRightInd/>
        <w:spacing w:line="500" w:lineRule="exact"/>
        <w:jc w:val="both"/>
        <w:textAlignment w:val="auto"/>
        <w:rPr>
          <w:rFonts w:eastAsia="標楷體"/>
          <w:color w:val="000000"/>
          <w:sz w:val="28"/>
          <w:szCs w:val="28"/>
        </w:rPr>
      </w:pPr>
      <w:r w:rsidRPr="0075723E">
        <w:rPr>
          <w:rFonts w:eastAsia="標楷體" w:hint="eastAsia"/>
          <w:color w:val="000000"/>
          <w:sz w:val="28"/>
          <w:szCs w:val="28"/>
        </w:rPr>
        <w:t>為避免重大災害之發生。</w:t>
      </w:r>
    </w:p>
    <w:p w:rsidR="00A147B2" w:rsidRPr="0075723E" w:rsidRDefault="00A147B2" w:rsidP="005B066B">
      <w:pPr>
        <w:numPr>
          <w:ilvl w:val="0"/>
          <w:numId w:val="3"/>
        </w:numPr>
        <w:adjustRightInd/>
        <w:spacing w:line="500" w:lineRule="exact"/>
        <w:jc w:val="both"/>
        <w:textAlignment w:val="auto"/>
        <w:rPr>
          <w:rFonts w:eastAsia="標楷體"/>
          <w:color w:val="000000"/>
          <w:sz w:val="28"/>
          <w:szCs w:val="28"/>
        </w:rPr>
      </w:pPr>
      <w:r w:rsidRPr="0075723E">
        <w:rPr>
          <w:rFonts w:eastAsia="標楷體" w:hint="eastAsia"/>
          <w:color w:val="000000"/>
          <w:sz w:val="28"/>
          <w:szCs w:val="28"/>
        </w:rPr>
        <w:t>合法建築物因地震、風災、水災、火災或其他重大事變致遭受</w:t>
      </w:r>
      <w:r w:rsidR="008E3A3D" w:rsidRPr="0075723E">
        <w:rPr>
          <w:rFonts w:eastAsia="標楷體" w:hint="eastAsia"/>
          <w:color w:val="000000"/>
          <w:sz w:val="28"/>
          <w:szCs w:val="28"/>
        </w:rPr>
        <w:t xml:space="preserve"> </w:t>
      </w:r>
      <w:r w:rsidRPr="0075723E">
        <w:rPr>
          <w:rFonts w:eastAsia="標楷體" w:hint="eastAsia"/>
          <w:color w:val="000000"/>
          <w:sz w:val="28"/>
          <w:szCs w:val="28"/>
        </w:rPr>
        <w:t>損害，亟需重建。</w:t>
      </w:r>
    </w:p>
    <w:p w:rsidR="00A147B2" w:rsidRPr="0075723E" w:rsidRDefault="00A147B2" w:rsidP="00150589">
      <w:pPr>
        <w:numPr>
          <w:ilvl w:val="0"/>
          <w:numId w:val="3"/>
        </w:numPr>
        <w:adjustRightInd/>
        <w:spacing w:line="500" w:lineRule="exact"/>
        <w:jc w:val="both"/>
        <w:textAlignment w:val="auto"/>
        <w:rPr>
          <w:rFonts w:eastAsia="標楷體"/>
          <w:color w:val="000000"/>
          <w:sz w:val="28"/>
          <w:szCs w:val="28"/>
        </w:rPr>
      </w:pPr>
      <w:r w:rsidRPr="0075723E">
        <w:rPr>
          <w:rFonts w:eastAsia="標楷體" w:hint="eastAsia"/>
          <w:color w:val="000000"/>
          <w:sz w:val="28"/>
          <w:szCs w:val="28"/>
        </w:rPr>
        <w:t>高氯離子混凝土建築物、輻射污染建築物，經本府認定有危險之虞，應立即拆除或應予修繕補強</w:t>
      </w:r>
      <w:r w:rsidRPr="0075723E">
        <w:rPr>
          <w:rFonts w:eastAsia="標楷體" w:hint="eastAsia"/>
          <w:color w:val="000000"/>
          <w:sz w:val="28"/>
          <w:szCs w:val="28"/>
        </w:rPr>
        <w:lastRenderedPageBreak/>
        <w:t>者。</w:t>
      </w:r>
    </w:p>
    <w:p w:rsidR="00A147B2" w:rsidRPr="0075723E" w:rsidRDefault="00A147B2" w:rsidP="00136B96">
      <w:pPr>
        <w:numPr>
          <w:ilvl w:val="0"/>
          <w:numId w:val="1"/>
        </w:numPr>
        <w:adjustRightInd/>
        <w:spacing w:line="500" w:lineRule="exact"/>
        <w:ind w:left="567" w:hanging="567"/>
        <w:jc w:val="both"/>
        <w:textAlignment w:val="auto"/>
        <w:rPr>
          <w:rFonts w:ascii="標楷體" w:eastAsia="標楷體" w:hAnsi="標楷體" w:hint="eastAsia"/>
          <w:color w:val="000000"/>
          <w:kern w:val="2"/>
          <w:sz w:val="28"/>
          <w:szCs w:val="28"/>
        </w:rPr>
      </w:pPr>
      <w:r w:rsidRPr="0075723E">
        <w:rPr>
          <w:rFonts w:ascii="標楷體" w:eastAsia="標楷體" w:hAnsi="標楷體" w:hint="eastAsia"/>
          <w:color w:val="000000"/>
          <w:kern w:val="2"/>
          <w:sz w:val="28"/>
          <w:szCs w:val="28"/>
        </w:rPr>
        <w:t>依本條例第十一條自行劃定更新單元涉及重建及整建、維護方式時，整建、維護區段為一般建築物，則應劃定不同更新單元；整建、維護區段為經核定具歷史、紀念或藝術價值之建築物，則可劃定為同一更新單元，申請基地規模並應以更新單元內全部面積計算。</w:t>
      </w:r>
    </w:p>
    <w:p w:rsidR="00A147B2" w:rsidRPr="0075723E" w:rsidRDefault="00A147B2" w:rsidP="00136B96">
      <w:pPr>
        <w:numPr>
          <w:ilvl w:val="0"/>
          <w:numId w:val="1"/>
        </w:numPr>
        <w:adjustRightInd/>
        <w:spacing w:line="500" w:lineRule="exact"/>
        <w:ind w:left="567" w:hanging="567"/>
        <w:jc w:val="both"/>
        <w:textAlignment w:val="auto"/>
        <w:rPr>
          <w:rFonts w:ascii="標楷體" w:eastAsia="標楷體" w:hAnsi="標楷體" w:hint="eastAsia"/>
          <w:color w:val="000000"/>
          <w:kern w:val="2"/>
          <w:sz w:val="28"/>
          <w:szCs w:val="28"/>
        </w:rPr>
      </w:pPr>
      <w:r w:rsidRPr="0075723E">
        <w:rPr>
          <w:rFonts w:ascii="標楷體" w:eastAsia="標楷體" w:hAnsi="標楷體" w:hint="eastAsia"/>
          <w:color w:val="000000"/>
          <w:kern w:val="2"/>
          <w:sz w:val="28"/>
          <w:szCs w:val="28"/>
        </w:rPr>
        <w:t>更新單元範圍內經依法公告為古蹟、歷史建築或暫定歷史建築應予保存，應劃為整建、維護區段。但經本府同意者不在此限。</w:t>
      </w:r>
    </w:p>
    <w:p w:rsidR="00A147B2" w:rsidRPr="0075723E" w:rsidRDefault="00A147B2" w:rsidP="00136B96">
      <w:pPr>
        <w:numPr>
          <w:ilvl w:val="0"/>
          <w:numId w:val="1"/>
        </w:numPr>
        <w:adjustRightInd/>
        <w:spacing w:line="500" w:lineRule="exact"/>
        <w:ind w:left="567" w:hanging="567"/>
        <w:jc w:val="both"/>
        <w:textAlignment w:val="auto"/>
        <w:rPr>
          <w:rFonts w:ascii="標楷體" w:eastAsia="標楷體" w:hAnsi="標楷體"/>
          <w:color w:val="000000"/>
          <w:kern w:val="2"/>
          <w:sz w:val="28"/>
          <w:szCs w:val="28"/>
        </w:rPr>
      </w:pPr>
      <w:r w:rsidRPr="0075723E">
        <w:rPr>
          <w:rFonts w:ascii="標楷體" w:eastAsia="標楷體" w:hAnsi="標楷體" w:hint="eastAsia"/>
          <w:color w:val="000000"/>
          <w:kern w:val="2"/>
          <w:sz w:val="28"/>
          <w:szCs w:val="28"/>
        </w:rPr>
        <w:t>更新單元為非完整街廓基地，以鄰接土地不造成</w:t>
      </w:r>
      <w:proofErr w:type="gramStart"/>
      <w:r w:rsidRPr="0075723E">
        <w:rPr>
          <w:rFonts w:ascii="標楷體" w:eastAsia="標楷體" w:hAnsi="標楷體" w:hint="eastAsia"/>
          <w:color w:val="000000"/>
          <w:kern w:val="2"/>
          <w:sz w:val="28"/>
          <w:szCs w:val="28"/>
        </w:rPr>
        <w:t>畸</w:t>
      </w:r>
      <w:proofErr w:type="gramEnd"/>
      <w:r w:rsidRPr="0075723E">
        <w:rPr>
          <w:rFonts w:ascii="標楷體" w:eastAsia="標楷體" w:hAnsi="標楷體" w:hint="eastAsia"/>
          <w:color w:val="000000"/>
          <w:kern w:val="2"/>
          <w:sz w:val="28"/>
          <w:szCs w:val="28"/>
        </w:rPr>
        <w:t>零地情事為原則，並應符合下列規定：</w:t>
      </w:r>
    </w:p>
    <w:p w:rsidR="00A147B2" w:rsidRPr="0075723E" w:rsidRDefault="00A147B2" w:rsidP="00150589">
      <w:pPr>
        <w:numPr>
          <w:ilvl w:val="0"/>
          <w:numId w:val="4"/>
        </w:numPr>
        <w:adjustRightInd/>
        <w:spacing w:line="500" w:lineRule="exact"/>
        <w:jc w:val="both"/>
        <w:textAlignment w:val="auto"/>
        <w:rPr>
          <w:rFonts w:eastAsia="標楷體"/>
          <w:color w:val="000000"/>
          <w:sz w:val="28"/>
          <w:szCs w:val="28"/>
        </w:rPr>
      </w:pPr>
      <w:r w:rsidRPr="0075723E">
        <w:rPr>
          <w:rFonts w:eastAsia="標楷體" w:hint="eastAsia"/>
          <w:color w:val="000000"/>
          <w:sz w:val="28"/>
          <w:szCs w:val="28"/>
        </w:rPr>
        <w:t>依本條例第十條自行劃定之更新單元，除應符合第四條規定外，並以不造成</w:t>
      </w:r>
      <w:proofErr w:type="gramStart"/>
      <w:r w:rsidRPr="0075723E">
        <w:rPr>
          <w:rFonts w:eastAsia="標楷體" w:hint="eastAsia"/>
          <w:color w:val="000000"/>
          <w:sz w:val="28"/>
          <w:szCs w:val="28"/>
        </w:rPr>
        <w:t>街廓內相鄰</w:t>
      </w:r>
      <w:proofErr w:type="gramEnd"/>
      <w:r w:rsidRPr="0075723E">
        <w:rPr>
          <w:rFonts w:eastAsia="標楷體" w:hint="eastAsia"/>
          <w:color w:val="000000"/>
          <w:sz w:val="28"/>
          <w:szCs w:val="28"/>
        </w:rPr>
        <w:t>土地無法劃定更新單元為原則。</w:t>
      </w:r>
    </w:p>
    <w:p w:rsidR="00A147B2" w:rsidRPr="0075723E" w:rsidRDefault="00A147B2" w:rsidP="00150589">
      <w:pPr>
        <w:numPr>
          <w:ilvl w:val="0"/>
          <w:numId w:val="4"/>
        </w:numPr>
        <w:adjustRightInd/>
        <w:spacing w:line="500" w:lineRule="exact"/>
        <w:jc w:val="both"/>
        <w:textAlignment w:val="auto"/>
        <w:rPr>
          <w:rFonts w:eastAsia="標楷體"/>
          <w:color w:val="000000"/>
          <w:sz w:val="28"/>
          <w:szCs w:val="28"/>
        </w:rPr>
      </w:pPr>
      <w:r w:rsidRPr="0075723E">
        <w:rPr>
          <w:rFonts w:eastAsia="標楷體" w:hint="eastAsia"/>
          <w:color w:val="000000"/>
          <w:sz w:val="28"/>
          <w:szCs w:val="28"/>
        </w:rPr>
        <w:t>若無法依前款原則辦理者，應於依本條例第十條舉辦公聽會時，一併通知相鄰土地及其合法建築物所有權人前述情形並邀請其參加公聽會，徵詢參與更新之意願並協調後，依規定申請實施都市更新事業；協調不成時，土地及合法建築物所有權人得申請主管機關協調。</w:t>
      </w:r>
    </w:p>
    <w:p w:rsidR="00A147B2" w:rsidRPr="0075723E" w:rsidRDefault="00A147B2" w:rsidP="00150589">
      <w:pPr>
        <w:numPr>
          <w:ilvl w:val="0"/>
          <w:numId w:val="4"/>
        </w:numPr>
        <w:adjustRightInd/>
        <w:spacing w:line="500" w:lineRule="exact"/>
        <w:jc w:val="both"/>
        <w:textAlignment w:val="auto"/>
        <w:rPr>
          <w:rFonts w:eastAsia="標楷體" w:hint="eastAsia"/>
          <w:color w:val="000000"/>
          <w:sz w:val="28"/>
          <w:szCs w:val="28"/>
        </w:rPr>
      </w:pPr>
      <w:r w:rsidRPr="0075723E">
        <w:rPr>
          <w:rFonts w:eastAsia="標楷體" w:hint="eastAsia"/>
          <w:color w:val="000000"/>
          <w:sz w:val="28"/>
          <w:szCs w:val="28"/>
        </w:rPr>
        <w:t>依本條例第十一條自行劃定之更新單元，除應符合第四條及第五條規定外，</w:t>
      </w:r>
      <w:proofErr w:type="gramStart"/>
      <w:r w:rsidRPr="0075723E">
        <w:rPr>
          <w:rFonts w:eastAsia="標楷體" w:hint="eastAsia"/>
          <w:color w:val="000000"/>
          <w:sz w:val="28"/>
          <w:szCs w:val="28"/>
        </w:rPr>
        <w:t>其鄰地</w:t>
      </w:r>
      <w:proofErr w:type="gramEnd"/>
      <w:r w:rsidRPr="0075723E">
        <w:rPr>
          <w:rFonts w:eastAsia="標楷體" w:hint="eastAsia"/>
          <w:color w:val="000000"/>
          <w:sz w:val="28"/>
          <w:szCs w:val="28"/>
        </w:rPr>
        <w:t>建物年限符合指標二或相鄰土地未達一千平方公尺之情形者，須由申請人辦理鄰地協調程序。</w:t>
      </w:r>
    </w:p>
    <w:p w:rsidR="00A147B2" w:rsidRPr="0075723E" w:rsidRDefault="00A147B2" w:rsidP="00150589">
      <w:pPr>
        <w:adjustRightInd/>
        <w:spacing w:line="500" w:lineRule="exact"/>
        <w:ind w:left="567" w:firstLineChars="300" w:firstLine="840"/>
        <w:jc w:val="both"/>
        <w:textAlignment w:val="auto"/>
        <w:rPr>
          <w:rFonts w:ascii="標楷體" w:eastAsia="標楷體" w:hAnsi="標楷體"/>
          <w:color w:val="000000"/>
          <w:kern w:val="2"/>
          <w:sz w:val="28"/>
          <w:szCs w:val="28"/>
        </w:rPr>
      </w:pPr>
      <w:r w:rsidRPr="0075723E">
        <w:rPr>
          <w:rFonts w:ascii="標楷體" w:eastAsia="標楷體" w:hAnsi="標楷體" w:hint="eastAsia"/>
          <w:color w:val="000000"/>
          <w:kern w:val="2"/>
          <w:sz w:val="28"/>
          <w:szCs w:val="28"/>
        </w:rPr>
        <w:t>前項鄰地協調結果，</w:t>
      </w:r>
      <w:proofErr w:type="gramStart"/>
      <w:r w:rsidRPr="0075723E">
        <w:rPr>
          <w:rFonts w:ascii="標楷體" w:eastAsia="標楷體" w:hAnsi="標楷體" w:hint="eastAsia"/>
          <w:color w:val="000000"/>
          <w:kern w:val="2"/>
          <w:sz w:val="28"/>
          <w:szCs w:val="28"/>
        </w:rPr>
        <w:t>若鄰地</w:t>
      </w:r>
      <w:proofErr w:type="gramEnd"/>
      <w:r w:rsidRPr="0075723E">
        <w:rPr>
          <w:rFonts w:ascii="標楷體" w:eastAsia="標楷體" w:hAnsi="標楷體" w:hint="eastAsia"/>
          <w:color w:val="000000"/>
          <w:kern w:val="2"/>
          <w:sz w:val="28"/>
          <w:szCs w:val="28"/>
        </w:rPr>
        <w:t>之土地及合法建築物所有權人同意參與更新達本條例第二十二條規定之比例，應將鄰地納入更新單元範圍。</w:t>
      </w:r>
    </w:p>
    <w:p w:rsidR="00A147B2" w:rsidRPr="0075723E" w:rsidRDefault="00A147B2" w:rsidP="00A147B2">
      <w:pPr>
        <w:ind w:left="839" w:hanging="839"/>
        <w:rPr>
          <w:rFonts w:ascii="新細明體" w:eastAsia="新細明體"/>
          <w:color w:val="000000"/>
          <w:sz w:val="28"/>
          <w:szCs w:val="28"/>
        </w:rPr>
      </w:pPr>
    </w:p>
    <w:p w:rsidR="00A147B2" w:rsidRPr="0075723E" w:rsidRDefault="00A147B2" w:rsidP="00484C9F">
      <w:pPr>
        <w:numPr>
          <w:ilvl w:val="0"/>
          <w:numId w:val="1"/>
        </w:numPr>
        <w:adjustRightInd/>
        <w:spacing w:line="500" w:lineRule="exact"/>
        <w:ind w:left="567" w:hanging="567"/>
        <w:jc w:val="both"/>
        <w:textAlignment w:val="auto"/>
        <w:rPr>
          <w:rFonts w:ascii="標楷體" w:eastAsia="標楷體" w:hAnsi="標楷體"/>
          <w:color w:val="000000"/>
          <w:kern w:val="2"/>
          <w:sz w:val="28"/>
          <w:szCs w:val="28"/>
        </w:rPr>
      </w:pPr>
      <w:r w:rsidRPr="0075723E">
        <w:rPr>
          <w:rFonts w:ascii="標楷體" w:eastAsia="標楷體" w:hAnsi="標楷體" w:hint="eastAsia"/>
          <w:color w:val="000000"/>
          <w:kern w:val="2"/>
          <w:sz w:val="28"/>
          <w:szCs w:val="28"/>
        </w:rPr>
        <w:lastRenderedPageBreak/>
        <w:t>有關都市計畫說明書規定應辦理市地重劃地區，擬依本條例第十一條申請自行劃定更新單元，應符合下列規定：</w:t>
      </w:r>
    </w:p>
    <w:p w:rsidR="00A147B2" w:rsidRPr="0075723E" w:rsidRDefault="00A147B2" w:rsidP="00484C9F">
      <w:pPr>
        <w:numPr>
          <w:ilvl w:val="0"/>
          <w:numId w:val="5"/>
        </w:numPr>
        <w:adjustRightInd/>
        <w:spacing w:line="500" w:lineRule="exact"/>
        <w:jc w:val="both"/>
        <w:textAlignment w:val="auto"/>
        <w:rPr>
          <w:rFonts w:eastAsia="標楷體"/>
          <w:color w:val="000000"/>
          <w:sz w:val="28"/>
          <w:szCs w:val="28"/>
        </w:rPr>
      </w:pPr>
      <w:r w:rsidRPr="0075723E">
        <w:rPr>
          <w:rFonts w:eastAsia="標楷體" w:hint="eastAsia"/>
          <w:color w:val="000000"/>
          <w:sz w:val="28"/>
          <w:szCs w:val="28"/>
        </w:rPr>
        <w:t>應</w:t>
      </w:r>
      <w:proofErr w:type="gramStart"/>
      <w:r w:rsidRPr="0075723E">
        <w:rPr>
          <w:rFonts w:eastAsia="標楷體" w:hint="eastAsia"/>
          <w:color w:val="000000"/>
          <w:sz w:val="28"/>
          <w:szCs w:val="28"/>
        </w:rPr>
        <w:t>俟</w:t>
      </w:r>
      <w:proofErr w:type="gramEnd"/>
      <w:r w:rsidRPr="0075723E">
        <w:rPr>
          <w:rFonts w:eastAsia="標楷體" w:hint="eastAsia"/>
          <w:color w:val="000000"/>
          <w:sz w:val="28"/>
          <w:szCs w:val="28"/>
        </w:rPr>
        <w:t>市地重劃作業確定土地權利分配後始得申請劃定更新單元。</w:t>
      </w:r>
    </w:p>
    <w:p w:rsidR="00A147B2" w:rsidRPr="0075723E" w:rsidRDefault="00A147B2" w:rsidP="00484C9F">
      <w:pPr>
        <w:numPr>
          <w:ilvl w:val="0"/>
          <w:numId w:val="5"/>
        </w:numPr>
        <w:adjustRightInd/>
        <w:spacing w:line="500" w:lineRule="exact"/>
        <w:jc w:val="both"/>
        <w:textAlignment w:val="auto"/>
        <w:rPr>
          <w:rFonts w:eastAsia="標楷體"/>
          <w:color w:val="000000"/>
          <w:sz w:val="28"/>
          <w:szCs w:val="28"/>
        </w:rPr>
      </w:pPr>
      <w:r w:rsidRPr="0075723E">
        <w:rPr>
          <w:rFonts w:eastAsia="標楷體" w:hint="eastAsia"/>
          <w:color w:val="000000"/>
          <w:sz w:val="28"/>
          <w:szCs w:val="28"/>
        </w:rPr>
        <w:t>市地重劃辦理完成後仍符合第五條之規定。</w:t>
      </w:r>
    </w:p>
    <w:p w:rsidR="00A147B2" w:rsidRPr="0075723E" w:rsidRDefault="00A147B2" w:rsidP="00A73912">
      <w:pPr>
        <w:numPr>
          <w:ilvl w:val="0"/>
          <w:numId w:val="1"/>
        </w:numPr>
        <w:adjustRightInd/>
        <w:spacing w:line="500" w:lineRule="exact"/>
        <w:ind w:left="567" w:hanging="567"/>
        <w:jc w:val="both"/>
        <w:textAlignment w:val="auto"/>
        <w:rPr>
          <w:rFonts w:ascii="標楷體" w:eastAsia="標楷體" w:hAnsi="標楷體"/>
          <w:color w:val="000000"/>
          <w:kern w:val="2"/>
          <w:sz w:val="28"/>
          <w:szCs w:val="28"/>
        </w:rPr>
      </w:pPr>
      <w:r w:rsidRPr="0075723E">
        <w:rPr>
          <w:rFonts w:ascii="標楷體" w:eastAsia="標楷體" w:hAnsi="標楷體" w:hint="eastAsia"/>
          <w:color w:val="000000"/>
          <w:kern w:val="2"/>
          <w:sz w:val="28"/>
          <w:szCs w:val="28"/>
        </w:rPr>
        <w:t>本準則所列事項，應於事業概要中載明；其依本條例第十條第二項逕行擬具都市更新事業計畫辦理者，應於都市更新事業計畫中載明。</w:t>
      </w:r>
    </w:p>
    <w:p w:rsidR="00BF60BD" w:rsidRPr="0075723E" w:rsidRDefault="00A147B2" w:rsidP="00A73912">
      <w:pPr>
        <w:numPr>
          <w:ilvl w:val="0"/>
          <w:numId w:val="1"/>
        </w:numPr>
        <w:adjustRightInd/>
        <w:spacing w:line="500" w:lineRule="exact"/>
        <w:ind w:left="567" w:hanging="567"/>
        <w:jc w:val="both"/>
        <w:textAlignment w:val="auto"/>
        <w:rPr>
          <w:rFonts w:ascii="標楷體" w:eastAsia="標楷體" w:hAnsi="標楷體"/>
          <w:color w:val="000000"/>
          <w:kern w:val="2"/>
          <w:sz w:val="28"/>
          <w:szCs w:val="28"/>
        </w:rPr>
      </w:pPr>
      <w:r w:rsidRPr="0075723E">
        <w:rPr>
          <w:rFonts w:ascii="標楷體" w:eastAsia="標楷體" w:hAnsi="標楷體" w:hint="eastAsia"/>
          <w:color w:val="000000"/>
          <w:kern w:val="2"/>
          <w:sz w:val="28"/>
          <w:szCs w:val="28"/>
        </w:rPr>
        <w:t>本準則自發布日施行。</w:t>
      </w:r>
    </w:p>
    <w:sectPr w:rsidR="00BF60BD" w:rsidRPr="0075723E">
      <w:footerReference w:type="default" r:id="rId8"/>
      <w:footnotePr>
        <w:pos w:val="sectEnd"/>
      </w:footnotePr>
      <w:endnotePr>
        <w:numFmt w:val="decimal"/>
        <w:numStart w:val="0"/>
      </w:endnotePr>
      <w:pgSz w:w="11906" w:h="16838"/>
      <w:pgMar w:top="1440" w:right="1800" w:bottom="1440" w:left="1800"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23E" w:rsidRDefault="0075723E" w:rsidP="00762351">
      <w:r>
        <w:separator/>
      </w:r>
    </w:p>
  </w:endnote>
  <w:endnote w:type="continuationSeparator" w:id="0">
    <w:p w:rsidR="0075723E" w:rsidRDefault="0075723E" w:rsidP="0076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89" w:rsidRDefault="00B70989" w:rsidP="00B70989">
    <w:pPr>
      <w:pStyle w:val="a5"/>
      <w:jc w:val="center"/>
      <w:rPr>
        <w:rStyle w:val="a7"/>
      </w:rPr>
    </w:pPr>
    <w:r>
      <w:rPr>
        <w:rFonts w:hint="eastAsia"/>
      </w:rPr>
      <w:t>第</w:t>
    </w:r>
    <w:r>
      <w:fldChar w:fldCharType="begin"/>
    </w:r>
    <w:r>
      <w:instrText xml:space="preserve"> PAGE   \* MERGEFORMAT </w:instrText>
    </w:r>
    <w:r>
      <w:fldChar w:fldCharType="separate"/>
    </w:r>
    <w:r w:rsidR="00177002" w:rsidRPr="00177002">
      <w:rPr>
        <w:noProof/>
        <w:lang w:val="zh-TW"/>
      </w:rPr>
      <w:t>2</w:t>
    </w:r>
    <w:r>
      <w:fldChar w:fldCharType="end"/>
    </w:r>
    <w:r>
      <w:rPr>
        <w:rFonts w:hint="eastAsia"/>
      </w:rPr>
      <w:t>頁，共</w:t>
    </w:r>
    <w:r>
      <w:rPr>
        <w:rStyle w:val="a7"/>
      </w:rPr>
      <w:fldChar w:fldCharType="begin"/>
    </w:r>
  </w:p>
  <w:p w:rsidR="00B70989" w:rsidRDefault="00B70989" w:rsidP="00B70989">
    <w:pPr>
      <w:pStyle w:val="a5"/>
      <w:jc w:val="center"/>
    </w:pPr>
    <w:r>
      <w:rPr>
        <w:rStyle w:val="a7"/>
      </w:rPr>
      <w:instrText xml:space="preserve"> NUMPAGES </w:instrText>
    </w:r>
    <w:r>
      <w:rPr>
        <w:rStyle w:val="a7"/>
      </w:rPr>
      <w:fldChar w:fldCharType="separate"/>
    </w:r>
    <w:r w:rsidR="00177002">
      <w:rPr>
        <w:rStyle w:val="a7"/>
        <w:noProof/>
      </w:rPr>
      <w:t>4</w:t>
    </w:r>
    <w:r>
      <w:rPr>
        <w:rStyle w:val="a7"/>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23E" w:rsidRDefault="0075723E" w:rsidP="00762351">
      <w:r>
        <w:separator/>
      </w:r>
    </w:p>
  </w:footnote>
  <w:footnote w:type="continuationSeparator" w:id="0">
    <w:p w:rsidR="0075723E" w:rsidRDefault="0075723E" w:rsidP="00762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210"/>
    <w:multiLevelType w:val="hybridMultilevel"/>
    <w:tmpl w:val="A7085666"/>
    <w:lvl w:ilvl="0" w:tplc="9BB4DC94">
      <w:start w:val="1"/>
      <w:numFmt w:val="taiwaneseCountingThousand"/>
      <w:lvlText w:val="%1、"/>
      <w:lvlJc w:val="left"/>
      <w:pPr>
        <w:ind w:left="2135" w:hanging="720"/>
      </w:pPr>
      <w:rPr>
        <w:rFonts w:hint="default"/>
      </w:rPr>
    </w:lvl>
    <w:lvl w:ilvl="1" w:tplc="04090019" w:tentative="1">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1">
    <w:nsid w:val="2E6353EF"/>
    <w:multiLevelType w:val="hybridMultilevel"/>
    <w:tmpl w:val="A7085666"/>
    <w:lvl w:ilvl="0" w:tplc="9BB4DC94">
      <w:start w:val="1"/>
      <w:numFmt w:val="taiwaneseCountingThousand"/>
      <w:lvlText w:val="%1、"/>
      <w:lvlJc w:val="left"/>
      <w:pPr>
        <w:ind w:left="2135" w:hanging="720"/>
      </w:pPr>
      <w:rPr>
        <w:rFonts w:hint="default"/>
      </w:rPr>
    </w:lvl>
    <w:lvl w:ilvl="1" w:tplc="04090019" w:tentative="1">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2">
    <w:nsid w:val="4D7D6D6E"/>
    <w:multiLevelType w:val="hybridMultilevel"/>
    <w:tmpl w:val="88E6749A"/>
    <w:lvl w:ilvl="0" w:tplc="D03061B6">
      <w:start w:val="1"/>
      <w:numFmt w:val="taiwaneseCountingThousand"/>
      <w:lvlText w:val="第%1條"/>
      <w:lvlJc w:val="left"/>
      <w:pPr>
        <w:ind w:left="1128" w:hanging="1128"/>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78B7F42"/>
    <w:multiLevelType w:val="hybridMultilevel"/>
    <w:tmpl w:val="A7085666"/>
    <w:lvl w:ilvl="0" w:tplc="9BB4DC94">
      <w:start w:val="1"/>
      <w:numFmt w:val="taiwaneseCountingThousand"/>
      <w:lvlText w:val="%1、"/>
      <w:lvlJc w:val="left"/>
      <w:pPr>
        <w:ind w:left="2135" w:hanging="720"/>
      </w:pPr>
      <w:rPr>
        <w:rFonts w:hint="default"/>
      </w:rPr>
    </w:lvl>
    <w:lvl w:ilvl="1" w:tplc="04090019" w:tentative="1">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4">
    <w:nsid w:val="7E7D54B0"/>
    <w:multiLevelType w:val="hybridMultilevel"/>
    <w:tmpl w:val="A7085666"/>
    <w:lvl w:ilvl="0" w:tplc="9BB4DC94">
      <w:start w:val="1"/>
      <w:numFmt w:val="taiwaneseCountingThousand"/>
      <w:lvlText w:val="%1、"/>
      <w:lvlJc w:val="left"/>
      <w:pPr>
        <w:ind w:left="2135" w:hanging="720"/>
      </w:pPr>
      <w:rPr>
        <w:rFonts w:hint="default"/>
      </w:rPr>
    </w:lvl>
    <w:lvl w:ilvl="1" w:tplc="04090019" w:tentative="1">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2351"/>
    <w:rsid w:val="00136B96"/>
    <w:rsid w:val="00150589"/>
    <w:rsid w:val="00177002"/>
    <w:rsid w:val="001F6EDE"/>
    <w:rsid w:val="0023059D"/>
    <w:rsid w:val="002748D0"/>
    <w:rsid w:val="002A7A62"/>
    <w:rsid w:val="003D3036"/>
    <w:rsid w:val="003D4E9B"/>
    <w:rsid w:val="003E68F3"/>
    <w:rsid w:val="00401039"/>
    <w:rsid w:val="00484C9F"/>
    <w:rsid w:val="004A6994"/>
    <w:rsid w:val="004B0DA8"/>
    <w:rsid w:val="004C104D"/>
    <w:rsid w:val="005B066B"/>
    <w:rsid w:val="005B5683"/>
    <w:rsid w:val="005E6AA1"/>
    <w:rsid w:val="006A64C7"/>
    <w:rsid w:val="0075723E"/>
    <w:rsid w:val="00762351"/>
    <w:rsid w:val="00820F64"/>
    <w:rsid w:val="008220AF"/>
    <w:rsid w:val="00832BF6"/>
    <w:rsid w:val="008A6EBF"/>
    <w:rsid w:val="008B3A43"/>
    <w:rsid w:val="008E3A3D"/>
    <w:rsid w:val="009F417E"/>
    <w:rsid w:val="00A147B2"/>
    <w:rsid w:val="00A36D94"/>
    <w:rsid w:val="00A73912"/>
    <w:rsid w:val="00AD6AEC"/>
    <w:rsid w:val="00B06749"/>
    <w:rsid w:val="00B70989"/>
    <w:rsid w:val="00B965CB"/>
    <w:rsid w:val="00BC6125"/>
    <w:rsid w:val="00BD6F9B"/>
    <w:rsid w:val="00BF60BD"/>
    <w:rsid w:val="00D139F4"/>
    <w:rsid w:val="00DD4879"/>
    <w:rsid w:val="00EF0A2C"/>
    <w:rsid w:val="00F63711"/>
    <w:rsid w:val="00F75935"/>
    <w:rsid w:val="00FE13DB"/>
    <w:rsid w:val="00FE1A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351"/>
    <w:pPr>
      <w:tabs>
        <w:tab w:val="center" w:pos="4153"/>
        <w:tab w:val="right" w:pos="8306"/>
      </w:tabs>
      <w:snapToGrid w:val="0"/>
    </w:pPr>
    <w:rPr>
      <w:sz w:val="20"/>
    </w:rPr>
  </w:style>
  <w:style w:type="character" w:customStyle="1" w:styleId="a4">
    <w:name w:val="頁首 字元"/>
    <w:link w:val="a3"/>
    <w:uiPriority w:val="99"/>
    <w:rsid w:val="00762351"/>
    <w:rPr>
      <w:rFonts w:eastAsia="細明體"/>
    </w:rPr>
  </w:style>
  <w:style w:type="paragraph" w:styleId="a5">
    <w:name w:val="footer"/>
    <w:basedOn w:val="a"/>
    <w:link w:val="a6"/>
    <w:uiPriority w:val="99"/>
    <w:unhideWhenUsed/>
    <w:rsid w:val="00762351"/>
    <w:pPr>
      <w:tabs>
        <w:tab w:val="center" w:pos="4153"/>
        <w:tab w:val="right" w:pos="8306"/>
      </w:tabs>
      <w:snapToGrid w:val="0"/>
    </w:pPr>
    <w:rPr>
      <w:sz w:val="20"/>
    </w:rPr>
  </w:style>
  <w:style w:type="character" w:customStyle="1" w:styleId="a6">
    <w:name w:val="頁尾 字元"/>
    <w:link w:val="a5"/>
    <w:uiPriority w:val="99"/>
    <w:rsid w:val="00762351"/>
    <w:rPr>
      <w:rFonts w:eastAsia="細明體"/>
    </w:rPr>
  </w:style>
  <w:style w:type="paragraph" w:styleId="Web">
    <w:name w:val="Normal (Web)"/>
    <w:basedOn w:val="a"/>
    <w:uiPriority w:val="99"/>
    <w:semiHidden/>
    <w:unhideWhenUsed/>
    <w:rsid w:val="00820F64"/>
    <w:pPr>
      <w:widowControl/>
      <w:adjustRightInd/>
      <w:spacing w:before="100" w:beforeAutospacing="1" w:after="100" w:afterAutospacing="1"/>
      <w:textAlignment w:val="auto"/>
    </w:pPr>
    <w:rPr>
      <w:rFonts w:ascii="新細明體" w:eastAsia="新細明體" w:hAnsi="新細明體" w:cs="新細明體"/>
      <w:szCs w:val="24"/>
    </w:rPr>
  </w:style>
  <w:style w:type="character" w:styleId="a7">
    <w:name w:val="page number"/>
    <w:rsid w:val="00B70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user</cp:lastModifiedBy>
  <cp:revision>50</cp:revision>
  <cp:lastPrinted>2020-07-15T01:38:00Z</cp:lastPrinted>
  <dcterms:created xsi:type="dcterms:W3CDTF">2014-10-08T05:22:00Z</dcterms:created>
  <dcterms:modified xsi:type="dcterms:W3CDTF">2020-07-15T07:53:00Z</dcterms:modified>
</cp:coreProperties>
</file>